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07A" w:rsidRPr="009B107A" w:rsidRDefault="009B107A" w:rsidP="009B107A">
      <w:pPr>
        <w:ind w:hanging="567"/>
      </w:pPr>
      <w:r>
        <w:rPr>
          <w:noProof/>
          <w:lang w:eastAsia="ru-RU"/>
        </w:rPr>
        <w:drawing>
          <wp:inline distT="0" distB="0" distL="0" distR="0" wp14:anchorId="3269B59E" wp14:editId="3E5235EE">
            <wp:extent cx="10086975" cy="6896100"/>
            <wp:effectExtent l="0" t="0" r="9525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BD74A1" w:rsidRPr="00BD74A1" w:rsidRDefault="00C94FBE">
      <w:pPr>
        <w:rPr>
          <w:lang w:val="en-US"/>
        </w:rPr>
      </w:pPr>
      <w:bookmarkStart w:id="0" w:name="_GoBack"/>
      <w:r w:rsidRPr="00C94FBE">
        <w:rPr>
          <w:noProof/>
          <w:lang w:eastAsia="ru-RU"/>
        </w:rPr>
        <w:lastRenderedPageBreak/>
        <w:drawing>
          <wp:inline distT="0" distB="0" distL="0" distR="0">
            <wp:extent cx="9639300" cy="7019925"/>
            <wp:effectExtent l="0" t="0" r="19050" b="9525"/>
            <wp:docPr id="4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bookmarkEnd w:id="0"/>
    </w:p>
    <w:sectPr w:rsidR="00BD74A1" w:rsidRPr="00BD74A1" w:rsidSect="00850972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25F"/>
    <w:rsid w:val="00057868"/>
    <w:rsid w:val="000D13B6"/>
    <w:rsid w:val="000E4F1C"/>
    <w:rsid w:val="00117F30"/>
    <w:rsid w:val="002058A4"/>
    <w:rsid w:val="00223165"/>
    <w:rsid w:val="003340AA"/>
    <w:rsid w:val="00366D77"/>
    <w:rsid w:val="003A001A"/>
    <w:rsid w:val="005D65F8"/>
    <w:rsid w:val="006F4D81"/>
    <w:rsid w:val="00707783"/>
    <w:rsid w:val="00723F40"/>
    <w:rsid w:val="007449B3"/>
    <w:rsid w:val="007505E6"/>
    <w:rsid w:val="00850972"/>
    <w:rsid w:val="00903F45"/>
    <w:rsid w:val="009257F3"/>
    <w:rsid w:val="009A01E7"/>
    <w:rsid w:val="009B107A"/>
    <w:rsid w:val="00A2430A"/>
    <w:rsid w:val="00AF4389"/>
    <w:rsid w:val="00B3296F"/>
    <w:rsid w:val="00BD74A1"/>
    <w:rsid w:val="00C94FBE"/>
    <w:rsid w:val="00CF631F"/>
    <w:rsid w:val="00DE066A"/>
    <w:rsid w:val="00E6725F"/>
    <w:rsid w:val="00EC3F73"/>
    <w:rsid w:val="00F32327"/>
    <w:rsid w:val="00F80EBA"/>
    <w:rsid w:val="00FF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7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72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7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72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44;&#1080;&#1072;&#1075;&#1088;&#1072;&#1084;&#1084;&#1072;%20&#1074;%20Microsoft%20Word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600" i="1"/>
            </a:pPr>
            <a:r>
              <a:rPr lang="ru-RU" sz="1600" i="1"/>
              <a:t>Количество личных обращений, рассмотренных в структурных подразделениях </a:t>
            </a:r>
          </a:p>
          <a:p>
            <a:pPr>
              <a:defRPr sz="1600" i="1"/>
            </a:pPr>
            <a:r>
              <a:rPr lang="ru-RU" sz="1600" i="1"/>
              <a:t>УФНС России по Ивановской области
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1023671616118808E-2"/>
          <c:y val="0.27136555444381605"/>
          <c:w val="0.96816984279231388"/>
          <c:h val="0.49718391554646829"/>
        </c:manualLayout>
      </c:layout>
      <c:pie3DChart>
        <c:varyColors val="1"/>
        <c:ser>
          <c:idx val="0"/>
          <c:order val="0"/>
          <c:tx>
            <c:strRef>
              <c:f>'[Диаграмма в Microsoft Word]Лист1'!$B$1</c:f>
              <c:strCache>
                <c:ptCount val="1"/>
                <c:pt idx="0">
                  <c:v>Количество личных обращений, рассмотренных в структурных подразделениях УФНС России по Ивановской области
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7.6872897969906734E-2"/>
                  <c:y val="-7.1720102666724669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1.834296208724627E-2"/>
                  <c:y val="-0.16351749539594843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9.912347358846442E-2"/>
                  <c:y val="-6.2932817099520019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-5.8186621856403928E-2"/>
                  <c:y val="5.029103406273111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4"/>
              <c:layout>
                <c:manualLayout>
                  <c:x val="-3.5244659573360697E-2"/>
                  <c:y val="7.3400907759458317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5"/>
              <c:layout>
                <c:manualLayout>
                  <c:x val="-2.0599039850896825E-2"/>
                  <c:y val="-1.321109032641638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6"/>
              <c:layout>
                <c:manualLayout>
                  <c:x val="-2.4781859774610327E-2"/>
                  <c:y val="-4.0154000087005697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7"/>
              <c:layout>
                <c:manualLayout>
                  <c:x val="-4.102176321444239E-2"/>
                  <c:y val="-2.7394904366235987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8"/>
              <c:layout>
                <c:manualLayout>
                  <c:x val="-1.1077503414056247E-2"/>
                  <c:y val="-4.2748074998912429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9"/>
              <c:layout>
                <c:manualLayout>
                  <c:x val="0.16734412447735816"/>
                  <c:y val="-4.4322443120024362E-2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</c:dLbl>
            <c:numFmt formatCode="0.0%" sourceLinked="0"/>
            <c:txPr>
              <a:bodyPr/>
              <a:lstStyle/>
              <a:p>
                <a:pPr>
                  <a:defRPr sz="1100" b="1" i="1"/>
                </a:pPr>
                <a:endParaRPr lang="ru-RU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'[Диаграмма в Microsoft Word]Лист1'!$A$2:$A$11</c:f>
              <c:strCache>
                <c:ptCount val="10"/>
                <c:pt idx="0">
                  <c:v>Отдел налогообложения имущества </c:v>
                </c:pt>
                <c:pt idx="1">
                  <c:v>Отдел налогообложения доходов физических лиц и администрирования страховых взносов</c:v>
                </c:pt>
                <c:pt idx="2">
                  <c:v>Отдел урегулирования задолженности</c:v>
                </c:pt>
                <c:pt idx="3">
                  <c:v>Руководство</c:v>
                </c:pt>
                <c:pt idx="4">
                  <c:v>Отдел работы с налогоплательщиками</c:v>
                </c:pt>
                <c:pt idx="5">
                  <c:v>Отдел налогообложения юридических лиц</c:v>
                </c:pt>
                <c:pt idx="6">
                  <c:v>Контрольный отдел</c:v>
                </c:pt>
                <c:pt idx="7">
                  <c:v>Отдел регистрации и учета налогоплательщиков</c:v>
                </c:pt>
                <c:pt idx="8">
                  <c:v>Отделкамерального контроля</c:v>
                </c:pt>
                <c:pt idx="9">
                  <c:v>Отделобеспечения процедур банкротства</c:v>
                </c:pt>
              </c:strCache>
            </c:strRef>
          </c:cat>
          <c:val>
            <c:numRef>
              <c:f>'[Диаграмма в Microsoft Word]Лист1'!$B$2:$B$11</c:f>
              <c:numCache>
                <c:formatCode>0.0</c:formatCode>
                <c:ptCount val="10"/>
                <c:pt idx="0">
                  <c:v>20</c:v>
                </c:pt>
                <c:pt idx="1">
                  <c:v>10</c:v>
                </c:pt>
                <c:pt idx="2">
                  <c:v>25</c:v>
                </c:pt>
                <c:pt idx="3">
                  <c:v>16.600000000000001</c:v>
                </c:pt>
                <c:pt idx="4">
                  <c:v>1.7</c:v>
                </c:pt>
                <c:pt idx="5">
                  <c:v>1.7</c:v>
                </c:pt>
                <c:pt idx="6">
                  <c:v>5</c:v>
                </c:pt>
                <c:pt idx="7">
                  <c:v>16.600000000000001</c:v>
                </c:pt>
                <c:pt idx="8">
                  <c:v>1.7</c:v>
                </c:pt>
                <c:pt idx="9">
                  <c:v>1.7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b"/>
      <c:layout>
        <c:manualLayout>
          <c:xMode val="edge"/>
          <c:yMode val="edge"/>
          <c:x val="0"/>
          <c:y val="0.81560664723539389"/>
          <c:w val="0.97607806106389672"/>
          <c:h val="0.1692417453343194"/>
        </c:manualLayout>
      </c:layout>
      <c:overlay val="0"/>
      <c:txPr>
        <a:bodyPr/>
        <a:lstStyle/>
        <a:p>
          <a:pPr>
            <a:defRPr sz="90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600" b="1" i="1" u="none" strike="noStrike" kern="1200" baseline="0" dirty="0" smtClean="0">
                <a:solidFill>
                  <a:schemeClr val="bg2">
                    <a:lumMod val="25000"/>
                  </a:schemeClr>
                </a:solidFill>
                <a:latin typeface="+mn-lt"/>
                <a:ea typeface="+mn-ea"/>
                <a:cs typeface="+mn-cs"/>
              </a:rPr>
              <a:t>Количество обращений по тематике вопроса</a:t>
            </a:r>
          </a:p>
        </c:rich>
      </c:tx>
      <c:layout>
        <c:manualLayout>
          <c:xMode val="edge"/>
          <c:yMode val="edge"/>
          <c:x val="0.30504704698473956"/>
          <c:y val="1.8822138413159689E-2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433625841035002E-2"/>
          <c:y val="8.0127782683247648E-2"/>
          <c:w val="0.90909129406683065"/>
          <c:h val="0.43155757327937205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обращений по тематике вопроса
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6.0372641166889715E-3"/>
                  <c:y val="-3.68709067404566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5.5258161899723011E-3"/>
                  <c:y val="-5.6650035434851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6.0195242393119835E-3"/>
                  <c:y val="-9.58877765788096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6.37235068936541E-3"/>
                  <c:y val="-7.94794816183933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5.1517226354610814E-3"/>
                  <c:y val="-0.2252438594429427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4.7989999273806193E-3"/>
                  <c:y val="-2.8919682190336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6.0372641166889715E-3"/>
                  <c:y val="-6.75671036371471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4.3053956200139014E-3"/>
                  <c:y val="-3.50499471148196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4.6581183280943635E-3"/>
                  <c:y val="-5.90625968226156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8.5930513626508147E-3"/>
                  <c:y val="-0.1719693586469940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3.5609432220181964E-3"/>
                  <c:y val="-2.92101411339864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3.1463902980506885E-3"/>
                  <c:y val="-2.530140991534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4.3846544873590403E-3"/>
                  <c:y val="-3.89650886583546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3"/>
              <c:layout>
                <c:manualLayout>
                  <c:x val="6.5876152832673607E-3"/>
                  <c:y val="-3.79918588873812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4"/>
              <c:layout>
                <c:manualLayout>
                  <c:x val="3.9525691699605712E-3"/>
                  <c:y val="-3.43735866123925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5"/>
              <c:layout>
                <c:manualLayout>
                  <c:x val="9.22266139657444E-3"/>
                  <c:y val="-7.96019900497512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chemeClr val="bg1"/>
              </a:solidFill>
            </c:spPr>
            <c:txPr>
              <a:bodyPr/>
              <a:lstStyle/>
              <a:p>
                <a:pPr>
                  <a:defRPr sz="10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Лист1!$A$2:$A$17</c:f>
              <c:strCache>
                <c:ptCount val="16"/>
                <c:pt idx="0">
                  <c:v>Обжалование решений государственных органов и должностных лиц</c:v>
                </c:pt>
                <c:pt idx="1">
                  <c:v>Земельный налог</c:v>
                </c:pt>
                <c:pt idx="2">
                  <c:v>Транспортный налог</c:v>
                </c:pt>
                <c:pt idx="3">
                  <c:v>Налог на имущество</c:v>
                </c:pt>
                <c:pt idx="4">
                  <c:v>Налог на доходы физических лиц</c:v>
                </c:pt>
                <c:pt idx="5">
                  <c:v>Налогообложение малого бизнеса</c:v>
                </c:pt>
                <c:pt idx="6">
                  <c:v>Задолженность по налогам и сборам</c:v>
                </c:pt>
                <c:pt idx="7">
                  <c:v>Уклонение от налогообложения</c:v>
                </c:pt>
                <c:pt idx="8">
                  <c:v>Зачет и возврат излишне уплаченных или взысканных сумм налогов, сборов, пеней, штрафов</c:v>
                </c:pt>
                <c:pt idx="9">
                  <c:v>Организация работы с налогоплательщиками</c:v>
                </c:pt>
                <c:pt idx="10">
                  <c:v>Государственная регистрация юридических лиц</c:v>
                </c:pt>
                <c:pt idx="11">
                  <c:v>Контроль исполнения налогового законодательства физическими и юридическими лицами</c:v>
                </c:pt>
                <c:pt idx="12">
                  <c:v>Учет налогоплаельщиков. Получение и отказ от ИНН</c:v>
                </c:pt>
                <c:pt idx="13">
                  <c:v>Регистрация ККТ, используемой организациями и ИП</c:v>
                </c:pt>
                <c:pt idx="14">
                  <c:v>Оказание услуг в электронной форме. Пользование информационными ресурсами</c:v>
                </c:pt>
                <c:pt idx="15">
                  <c:v>По другим вопросам</c:v>
                </c:pt>
              </c:strCache>
            </c:strRef>
          </c:cat>
          <c:val>
            <c:numRef>
              <c:f>Лист1!$B$2:$B$17</c:f>
              <c:numCache>
                <c:formatCode>General</c:formatCode>
                <c:ptCount val="16"/>
                <c:pt idx="0">
                  <c:v>47</c:v>
                </c:pt>
                <c:pt idx="1">
                  <c:v>160</c:v>
                </c:pt>
                <c:pt idx="2">
                  <c:v>314</c:v>
                </c:pt>
                <c:pt idx="3">
                  <c:v>262</c:v>
                </c:pt>
                <c:pt idx="4">
                  <c:v>876</c:v>
                </c:pt>
                <c:pt idx="5">
                  <c:v>18</c:v>
                </c:pt>
                <c:pt idx="6">
                  <c:v>197</c:v>
                </c:pt>
                <c:pt idx="7">
                  <c:v>51</c:v>
                </c:pt>
                <c:pt idx="8">
                  <c:v>134</c:v>
                </c:pt>
                <c:pt idx="9">
                  <c:v>662</c:v>
                </c:pt>
                <c:pt idx="10">
                  <c:v>40</c:v>
                </c:pt>
                <c:pt idx="11">
                  <c:v>3</c:v>
                </c:pt>
                <c:pt idx="12">
                  <c:v>64</c:v>
                </c:pt>
                <c:pt idx="13">
                  <c:v>56</c:v>
                </c:pt>
                <c:pt idx="14">
                  <c:v>26</c:v>
                </c:pt>
                <c:pt idx="15">
                  <c:v>233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18021504"/>
        <c:axId val="118023296"/>
        <c:axId val="0"/>
      </c:bar3DChart>
      <c:catAx>
        <c:axId val="118021504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 rot="-5400000" vert="horz"/>
          <a:lstStyle/>
          <a:p>
            <a:pPr>
              <a:defRPr sz="900"/>
            </a:pPr>
            <a:endParaRPr lang="ru-RU"/>
          </a:p>
        </c:txPr>
        <c:crossAx val="118023296"/>
        <c:crosses val="autoZero"/>
        <c:auto val="0"/>
        <c:lblAlgn val="ctr"/>
        <c:lblOffset val="100"/>
        <c:noMultiLvlLbl val="0"/>
      </c:catAx>
      <c:valAx>
        <c:axId val="1180232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00"/>
            </a:pPr>
            <a:endParaRPr lang="ru-RU"/>
          </a:p>
        </c:txPr>
        <c:crossAx val="118021504"/>
        <c:crosses val="autoZero"/>
        <c:crossBetween val="between"/>
        <c:majorUnit val="100"/>
      </c:valAx>
    </c:plotArea>
    <c:legend>
      <c:legendPos val="r"/>
      <c:layout>
        <c:manualLayout>
          <c:xMode val="edge"/>
          <c:yMode val="edge"/>
          <c:x val="0.1779702882989429"/>
          <c:y val="0.86116618055036187"/>
          <c:w val="0.19681674585326436"/>
          <c:h val="5.1722489912641528E-2"/>
        </c:manualLayout>
      </c:layout>
      <c:overlay val="0"/>
      <c:txPr>
        <a:bodyPr/>
        <a:lstStyle/>
        <a:p>
          <a:pPr>
            <a:defRPr sz="1000"/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57432-B34F-41B1-95E5-6FA864C1B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3700-01-772</dc:creator>
  <cp:lastModifiedBy>Иванова Анастасия Витальевна</cp:lastModifiedBy>
  <cp:revision>4</cp:revision>
  <dcterms:created xsi:type="dcterms:W3CDTF">2019-09-19T12:06:00Z</dcterms:created>
  <dcterms:modified xsi:type="dcterms:W3CDTF">2019-09-19T12:10:00Z</dcterms:modified>
</cp:coreProperties>
</file>